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A4" w:rsidRPr="00BB31A4" w:rsidRDefault="00BB31A4" w:rsidP="00BB31A4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BB31A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УСН: доходы от продажи помещения, использовавшегося в предпринимательской деятельности, включаются в налоговую базу по единому налогу</w:t>
      </w:r>
    </w:p>
    <w:p w:rsidR="00BB31A4" w:rsidRPr="00BB31A4" w:rsidRDefault="00BB31A4" w:rsidP="00BB31A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1A4">
        <w:rPr>
          <w:rFonts w:ascii="Times New Roman" w:eastAsia="Times New Roman" w:hAnsi="Times New Roman" w:cs="Times New Roman"/>
          <w:color w:val="333333"/>
          <w:sz w:val="24"/>
          <w:szCs w:val="24"/>
        </w:rPr>
        <w:t>Налогоплательщик, применяющий </w:t>
      </w:r>
      <w:hyperlink r:id="rId4" w:tgtFrame="_blank" w:history="1">
        <w:r w:rsidRPr="00BB31A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упрощенную систему налогообложения</w:t>
        </w:r>
      </w:hyperlink>
      <w:r w:rsidRPr="00BB31A4">
        <w:rPr>
          <w:rFonts w:ascii="Times New Roman" w:eastAsia="Times New Roman" w:hAnsi="Times New Roman" w:cs="Times New Roman"/>
          <w:color w:val="333333"/>
          <w:sz w:val="24"/>
          <w:szCs w:val="24"/>
        </w:rPr>
        <w:t>, продает нежилое помещение, которое использовалось им в предпринимательской деятельности. Как учитываются доход от такой продажи? По мнению специалистов Минфина, полученный доход следует учесть при определении налоговой базы по единому «упрощенному» налогу (письмо </w:t>
      </w:r>
      <w:hyperlink r:id="rId5" w:tgtFrame="_blank" w:history="1">
        <w:r w:rsidRPr="00BB31A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02.05.17 № 03-11-11/26707</w:t>
        </w:r>
      </w:hyperlink>
      <w:r w:rsidRPr="00BB31A4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BB31A4" w:rsidRPr="00BB31A4" w:rsidRDefault="00BB31A4" w:rsidP="00BB31A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1A4">
        <w:rPr>
          <w:rFonts w:ascii="Times New Roman" w:eastAsia="Times New Roman" w:hAnsi="Times New Roman" w:cs="Times New Roman"/>
          <w:color w:val="333333"/>
          <w:sz w:val="24"/>
          <w:szCs w:val="24"/>
        </w:rPr>
        <w:t>Чиновники приводят следующие аргументы. В пункте 1 статьи </w:t>
      </w:r>
      <w:hyperlink r:id="rId6" w:anchor="h9548" w:tgtFrame="_blank" w:history="1">
        <w:r w:rsidRPr="00BB31A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346.15</w:t>
        </w:r>
      </w:hyperlink>
      <w:r w:rsidRPr="00BB31A4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 установлено, что при определении объекта налогообложения «</w:t>
      </w:r>
      <w:proofErr w:type="spellStart"/>
      <w:r w:rsidRPr="00BB31A4">
        <w:rPr>
          <w:rFonts w:ascii="Times New Roman" w:eastAsia="Times New Roman" w:hAnsi="Times New Roman" w:cs="Times New Roman"/>
          <w:color w:val="333333"/>
          <w:sz w:val="24"/>
          <w:szCs w:val="24"/>
        </w:rPr>
        <w:t>упрощенщики</w:t>
      </w:r>
      <w:proofErr w:type="spellEnd"/>
      <w:r w:rsidRPr="00BB31A4">
        <w:rPr>
          <w:rFonts w:ascii="Times New Roman" w:eastAsia="Times New Roman" w:hAnsi="Times New Roman" w:cs="Times New Roman"/>
          <w:color w:val="333333"/>
          <w:sz w:val="24"/>
          <w:szCs w:val="24"/>
        </w:rPr>
        <w:t>» учитывают доходы в порядке, установленном пунктами 1 и 2 статьи </w:t>
      </w:r>
      <w:hyperlink r:id="rId7" w:anchor="h6686" w:tgtFrame="_blank" w:history="1">
        <w:r w:rsidRPr="00BB31A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248</w:t>
        </w:r>
      </w:hyperlink>
      <w:r w:rsidRPr="00BB31A4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РФ. В пункте 1 статьи </w:t>
      </w:r>
      <w:hyperlink r:id="rId8" w:anchor="h6686" w:tgtFrame="_blank" w:history="1">
        <w:r w:rsidRPr="00BB31A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248</w:t>
        </w:r>
      </w:hyperlink>
      <w:r w:rsidRPr="00BB31A4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 сказано, что к доходам относятся доходы от реализации товаров (работ, услуг) и имущественных прав и </w:t>
      </w:r>
      <w:proofErr w:type="spellStart"/>
      <w:r w:rsidRPr="00BB31A4">
        <w:rPr>
          <w:rFonts w:ascii="Times New Roman" w:eastAsia="Times New Roman" w:hAnsi="Times New Roman" w:cs="Times New Roman"/>
          <w:color w:val="333333"/>
          <w:sz w:val="24"/>
          <w:szCs w:val="24"/>
        </w:rPr>
        <w:t>внереализационные</w:t>
      </w:r>
      <w:proofErr w:type="spellEnd"/>
      <w:r w:rsidRPr="00BB31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доходы. При этом доходы от реализации определяются в порядке, установленном статьей </w:t>
      </w:r>
      <w:hyperlink r:id="rId9" w:anchor="h6691" w:tgtFrame="_blank" w:history="1">
        <w:r w:rsidRPr="00BB31A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249</w:t>
        </w:r>
      </w:hyperlink>
      <w:r w:rsidRPr="00BB31A4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РФ, а </w:t>
      </w:r>
      <w:proofErr w:type="spellStart"/>
      <w:r w:rsidRPr="00BB31A4">
        <w:rPr>
          <w:rFonts w:ascii="Times New Roman" w:eastAsia="Times New Roman" w:hAnsi="Times New Roman" w:cs="Times New Roman"/>
          <w:color w:val="333333"/>
          <w:sz w:val="24"/>
          <w:szCs w:val="24"/>
        </w:rPr>
        <w:t>внереализационные</w:t>
      </w:r>
      <w:proofErr w:type="spellEnd"/>
      <w:r w:rsidRPr="00BB31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доходы — в порядке, установленном статьей </w:t>
      </w:r>
      <w:hyperlink r:id="rId10" w:anchor="h6693" w:tgtFrame="_blank" w:history="1">
        <w:r w:rsidRPr="00BB31A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250</w:t>
        </w:r>
      </w:hyperlink>
      <w:r w:rsidRPr="00BB31A4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РФ.</w:t>
      </w:r>
      <w:r w:rsidRPr="00BB31A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B31A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Доходом от реализации, как сказано в пункте 1 статьи </w:t>
      </w:r>
      <w:hyperlink r:id="rId11" w:anchor="h6691" w:tgtFrame="_blank" w:history="1">
        <w:r w:rsidRPr="00BB31A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249</w:t>
        </w:r>
      </w:hyperlink>
      <w:r w:rsidRPr="00BB31A4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РФ, признается выручка от реализации товаров (работ, услуг) как собственного производства, так и ранее приобретенных, а также выручка от реализации имущественных прав. При этом выручка от реализации определяется исходя из всех поступлений, связанных с расчетами за реализованные товары (работы, услуги) и на имущественные права.</w:t>
      </w:r>
      <w:r w:rsidRPr="00BB31A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B31A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 этом основании в Минфине полагают, что выручку от реализации имущества, использовавшегося в предпринимательской деятельности, следует учитывать в доходах при определении налоговой базы по единому «упрощенному» налогу.</w:t>
      </w:r>
    </w:p>
    <w:p w:rsidR="00640A17" w:rsidRPr="00BB31A4" w:rsidRDefault="00640A17" w:rsidP="00BB31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0A17" w:rsidRPr="00BB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1A4"/>
    <w:rsid w:val="00640A17"/>
    <w:rsid w:val="00BB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1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B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31A4"/>
  </w:style>
  <w:style w:type="character" w:styleId="a4">
    <w:name w:val="Hyperlink"/>
    <w:basedOn w:val="a0"/>
    <w:uiPriority w:val="99"/>
    <w:semiHidden/>
    <w:unhideWhenUsed/>
    <w:rsid w:val="00BB3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ativ.kontur.ru/document?moduleId=1&amp;documentId=282233&amp;promocode=095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2233&amp;promocode=095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2233&amp;promocode=0957" TargetMode="External"/><Relationship Id="rId11" Type="http://schemas.openxmlformats.org/officeDocument/2006/relationships/hyperlink" Target="https://normativ.kontur.ru/document?moduleId=1&amp;documentId=282233&amp;promocode=0957" TargetMode="External"/><Relationship Id="rId5" Type="http://schemas.openxmlformats.org/officeDocument/2006/relationships/hyperlink" Target="https://www.buhonline.ru/Files/Modules/Publication/12323/Ministerstvo_finansov_Rossijjskojj_Federacii.docx?t=1495788657" TargetMode="External"/><Relationship Id="rId10" Type="http://schemas.openxmlformats.org/officeDocument/2006/relationships/hyperlink" Target="https://normativ.kontur.ru/document?moduleId=1&amp;documentId=282233&amp;promocode=0957" TargetMode="External"/><Relationship Id="rId4" Type="http://schemas.openxmlformats.org/officeDocument/2006/relationships/hyperlink" Target="https://www.buhonline.ru/pub/beginner/2010/9/3724" TargetMode="External"/><Relationship Id="rId9" Type="http://schemas.openxmlformats.org/officeDocument/2006/relationships/hyperlink" Target="https://normativ.kontur.ru/document?moduleId=1&amp;documentId=282233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2017-06-23T11:26:00Z</dcterms:created>
  <dcterms:modified xsi:type="dcterms:W3CDTF">2017-06-23T11:27:00Z</dcterms:modified>
</cp:coreProperties>
</file>